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png" ContentType="image/png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Georgia" w:hAnsi="Georgia"/>
          <w:b w:val="0"/>
          <w:i w:val="0"/>
          <w:color w:val="0A0A0C"/>
          <w:sz w:val="40"/>
        </w:rPr>
        <w:t>Matriz de coherencia</w:t>
      </w:r>
    </w:p>
    <w:p>
      <w:pPr>
        <w:spacing w:after="160" w:before="0"/>
      </w:pPr>
      <w:r>
        <w:rPr>
          <w:rFonts w:ascii="Georgia" w:hAnsi="Georgia"/>
          <w:b w:val="0"/>
          <w:i/>
          <w:color w:val="8A8578"/>
          <w:sz w:val="19"/>
        </w:rPr>
        <w:t>Una fila por objetivo específico. El problema, la pregunta y el objetivo general son comunes a todas las filas. Llénala de izquierda a derecha y léela después en las dos direcciones. El kit te ayuda a anticipar lo que suele revisar un jurado. No garantiza la aprobación: esa decisión es del jurado y de tu programa.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CFB8"/>
          <w:left w:val="single" w:sz="4" w:space="0" w:color="D8CFB8"/>
          <w:bottom w:val="single" w:sz="4" w:space="0" w:color="D8CFB8"/>
          <w:right w:val="single" w:sz="4" w:space="0" w:color="D8CFB8"/>
          <w:insideH w:val="single" w:sz="4" w:space="0" w:color="D8CFB8"/>
          <w:insideV w:val="single" w:sz="4" w:space="0" w:color="D8CFB8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ayout w:type="fixed"/>
      </w:tblPr>
      <w:tblGrid>
        <w:gridCol w:w="1474"/>
        <w:gridCol w:w="2268"/>
        <w:gridCol w:w="1247"/>
        <w:gridCol w:w="1928"/>
        <w:gridCol w:w="1247"/>
        <w:gridCol w:w="2154"/>
        <w:gridCol w:w="1247"/>
        <w:gridCol w:w="3027"/>
      </w:tblGrid>
      <w:tr>
        <w:trPr>
          <w:trHeight w:val="351" w:hRule="atLeast"/>
        </w:trPr>
        <w:tc>
          <w:tcPr>
            <w:tcW w:type="dxa" w:w="1474"/>
            <w:shd w:val="clear" w:color="auto" w:fill="E9E2D0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Título tentativo</w:t>
            </w:r>
          </w:p>
        </w:tc>
        <w:tc>
          <w:tcPr>
            <w:tcW w:type="dxa" w:w="13118"/>
            <w:gridSpan w:val="7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7"/>
              </w:rPr>
            </w:r>
          </w:p>
        </w:tc>
      </w:tr>
      <w:tr>
        <w:trPr>
          <w:trHeight w:val="351" w:hRule="atLeast"/>
        </w:trPr>
        <w:tc>
          <w:tcPr>
            <w:tcW w:type="dxa" w:w="1474"/>
            <w:shd w:val="clear" w:color="auto" w:fill="E9E2D0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Nivel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7"/>
              </w:rPr>
            </w:r>
          </w:p>
        </w:tc>
        <w:tc>
          <w:tcPr>
            <w:tcW w:type="dxa" w:w="1247"/>
            <w:shd w:val="clear" w:color="auto" w:fill="E9E2D0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Enfoque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7"/>
              </w:rPr>
            </w:r>
          </w:p>
        </w:tc>
        <w:tc>
          <w:tcPr>
            <w:tcW w:type="dxa" w:w="1247"/>
            <w:shd w:val="clear" w:color="auto" w:fill="E9E2D0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Alcance</w:t>
            </w:r>
          </w:p>
        </w:tc>
        <w:tc>
          <w:tcPr>
            <w:tcW w:type="dxa" w:w="2154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7"/>
              </w:rPr>
            </w:r>
          </w:p>
        </w:tc>
        <w:tc>
          <w:tcPr>
            <w:tcW w:type="dxa" w:w="1247"/>
            <w:shd w:val="clear" w:color="auto" w:fill="E9E2D0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Diseño</w:t>
            </w:r>
          </w:p>
        </w:tc>
        <w:tc>
          <w:tcPr>
            <w:tcW w:type="dxa" w:w="3027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7"/>
              </w:rPr>
            </w:r>
          </w:p>
        </w:tc>
      </w:tr>
    </w:tbl>
    <w:p>
      <w:pPr>
        <w:spacing w:after="40" w:before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CFB8"/>
          <w:left w:val="single" w:sz="4" w:space="0" w:color="D8CFB8"/>
          <w:bottom w:val="single" w:sz="4" w:space="0" w:color="D8CFB8"/>
          <w:right w:val="single" w:sz="4" w:space="0" w:color="D8CFB8"/>
          <w:insideH w:val="single" w:sz="4" w:space="0" w:color="D8CFB8"/>
          <w:insideV w:val="single" w:sz="4" w:space="0" w:color="D8CFB8"/>
        </w:tblBorders>
        <w:tblLayout w:type="fixed"/>
        <w:tblCellMar>
          <w:top w:w="40" w:type="dxa"/>
          <w:left w:w="55" w:type="dxa"/>
          <w:bottom w:w="40" w:type="dxa"/>
          <w:right w:w="55" w:type="dxa"/>
        </w:tblCellMar>
        <w:tblLayout w:type="fixed"/>
      </w:tblPr>
      <w:tblGrid>
        <w:gridCol w:w="567"/>
        <w:gridCol w:w="1304"/>
        <w:gridCol w:w="1247"/>
        <w:gridCol w:w="1247"/>
        <w:gridCol w:w="1304"/>
        <w:gridCol w:w="1191"/>
        <w:gridCol w:w="1134"/>
        <w:gridCol w:w="1020"/>
        <w:gridCol w:w="1134"/>
        <w:gridCol w:w="1134"/>
        <w:gridCol w:w="964"/>
        <w:gridCol w:w="1134"/>
        <w:gridCol w:w="1191"/>
      </w:tblGrid>
      <w:tr>
        <w:trPr>
          <w:tblHeader w:val="true"/>
          <w:cantSplit w:val="true"/>
        </w:trPr>
        <w:tc>
          <w:tcPr>
            <w:tcW w:type="dxa" w:w="567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N.º</w:t>
            </w:r>
          </w:p>
        </w:tc>
        <w:tc>
          <w:tcPr>
            <w:tcW w:type="dxa" w:w="130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Problema</w:t>
            </w:r>
          </w:p>
        </w:tc>
        <w:tc>
          <w:tcPr>
            <w:tcW w:type="dxa" w:w="1247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Pregunta</w:t>
            </w:r>
          </w:p>
        </w:tc>
        <w:tc>
          <w:tcPr>
            <w:tcW w:type="dxa" w:w="1247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Objetivo general</w:t>
            </w:r>
          </w:p>
        </w:tc>
        <w:tc>
          <w:tcPr>
            <w:tcW w:type="dxa" w:w="130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Objetivos específicos</w:t>
            </w:r>
          </w:p>
        </w:tc>
        <w:tc>
          <w:tcPr>
            <w:tcW w:type="dxa" w:w="1191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Hipótesis o supuestos</w:t>
            </w:r>
          </w:p>
        </w:tc>
        <w:tc>
          <w:tcPr>
            <w:tcW w:type="dxa" w:w="113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Variables o categorías</w:t>
            </w:r>
          </w:p>
        </w:tc>
        <w:tc>
          <w:tcPr>
            <w:tcW w:type="dxa" w:w="1020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Dimensiones</w:t>
            </w:r>
          </w:p>
        </w:tc>
        <w:tc>
          <w:tcPr>
            <w:tcW w:type="dxa" w:w="113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Indicadores</w:t>
            </w:r>
          </w:p>
        </w:tc>
        <w:tc>
          <w:tcPr>
            <w:tcW w:type="dxa" w:w="113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Técnica e instrumento</w:t>
            </w:r>
          </w:p>
        </w:tc>
        <w:tc>
          <w:tcPr>
            <w:tcW w:type="dxa" w:w="96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Fuente de datos</w:t>
            </w:r>
          </w:p>
        </w:tc>
        <w:tc>
          <w:tcPr>
            <w:tcW w:type="dxa" w:w="113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Población y muestra</w:t>
            </w:r>
          </w:p>
        </w:tc>
        <w:tc>
          <w:tcPr>
            <w:tcW w:type="dxa" w:w="1191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Análisis</w:t>
            </w:r>
          </w:p>
        </w:tc>
      </w:tr>
      <w:tr>
        <w:trPr>
          <w:tblHeader w:val="true"/>
          <w:cantSplit w:val="true"/>
        </w:trPr>
        <w:tc>
          <w:tcPr>
            <w:tcW w:type="dxa" w:w="567"/>
            <w:shd w:val="clear" w:color="auto" w:fill="F6F3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3F3C36"/>
                <w:sz w:val="13"/>
              </w:rPr>
              <w:t>Guía</w:t>
            </w:r>
          </w:p>
        </w:tc>
        <w:tc>
          <w:tcPr>
            <w:tcW w:type="dxa" w:w="130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¿Qué pasa, a quién, dónde y desde cuándo? ¿Con qué dato y fuente lo sustentas?</w:t>
            </w:r>
          </w:p>
        </w:tc>
        <w:tc>
          <w:tcPr>
            <w:tcW w:type="dxa" w:w="1247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¿Qué quieres saber exactamente? ¿Se responde con los datos que vas a recoger?</w:t>
            </w:r>
          </w:p>
        </w:tc>
        <w:tc>
          <w:tcPr>
            <w:tcW w:type="dxa" w:w="1247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La pregunta convertida en acción: mismo alcance, población, lugar y periodo.</w:t>
            </w:r>
          </w:p>
        </w:tc>
        <w:tc>
          <w:tcPr>
            <w:tcW w:type="dxa" w:w="130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Un conocimiento por obtener en cada fila, no una actividad.</w:t>
            </w:r>
          </w:p>
        </w:tc>
        <w:tc>
          <w:tcPr>
            <w:tcW w:type="dxa" w:w="1191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Respuesta anticipada y contrastable (cuantitativo) o supuestos y categorías de partida (cualitativo).</w:t>
            </w:r>
          </w:p>
        </w:tc>
        <w:tc>
          <w:tcPr>
            <w:tcW w:type="dxa" w:w="113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Lo que observarás en esta fila, con su tipo y nivel de medición.</w:t>
            </w:r>
          </w:p>
        </w:tc>
        <w:tc>
          <w:tcPr>
            <w:tcW w:type="dxa" w:w="1020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Las facetas en que se descompone cada variable o categoría.</w:t>
            </w:r>
          </w:p>
        </w:tc>
        <w:tc>
          <w:tcPr>
            <w:tcW w:type="dxa" w:w="113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Lo que se registra: unidad, categorías o punto de corte.</w:t>
            </w:r>
          </w:p>
        </w:tc>
        <w:tc>
          <w:tcPr>
            <w:tcW w:type="dxa" w:w="113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Cómo y con qué se recoge. ¿Validado o con plan de validación?</w:t>
            </w:r>
          </w:p>
        </w:tc>
        <w:tc>
          <w:tcPr>
            <w:tcW w:type="dxa" w:w="96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Primaria (la recoges tú) o secundaria (registros, bases, historias).</w:t>
            </w:r>
          </w:p>
        </w:tc>
        <w:tc>
          <w:tcPr>
            <w:tcW w:type="dxa" w:w="113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Unidad de análisis, criterios, muestreo y tamaño (o criterio de suficiencia).</w:t>
            </w:r>
          </w:p>
        </w:tc>
        <w:tc>
          <w:tcPr>
            <w:tcW w:type="dxa" w:w="1191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La técnica que responde exactamente al objetivo de esta fila.</w:t>
            </w:r>
          </w:p>
        </w:tc>
      </w:tr>
      <w:tr>
        <w:trPr>
          <w:trHeight w:val="1049" w:hRule="atLeast"/>
        </w:trPr>
        <w:tc>
          <w:tcPr>
            <w:tcW w:type="dxa" w:w="567"/>
            <w:shd w:val="clear" w:color="auto" w:fill="B3CB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5"/>
              </w:rPr>
              <w:t>OE1</w:t>
            </w:r>
          </w:p>
        </w:tc>
        <w:tc>
          <w:tcPr>
            <w:tcW w:type="dxa" w:w="1304"/>
            <w:vMerge w:val="restart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247"/>
            <w:vMerge w:val="restart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247"/>
            <w:vMerge w:val="restart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30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020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96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</w:tr>
      <w:tr>
        <w:trPr>
          <w:trHeight w:val="1049" w:hRule="atLeast"/>
        </w:trPr>
        <w:tc>
          <w:tcPr>
            <w:tcW w:type="dxa" w:w="567"/>
            <w:shd w:val="clear" w:color="auto" w:fill="B3CB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5"/>
              </w:rPr>
              <w:t>OE2</w:t>
            </w:r>
          </w:p>
        </w:tc>
        <w:tc>
          <w:tcPr>
            <w:tcW w:type="dxa" w:w="1304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30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020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96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</w:tr>
      <w:tr>
        <w:trPr>
          <w:trHeight w:val="1049" w:hRule="atLeast"/>
        </w:trPr>
        <w:tc>
          <w:tcPr>
            <w:tcW w:type="dxa" w:w="567"/>
            <w:shd w:val="clear" w:color="auto" w:fill="B3CB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5"/>
              </w:rPr>
              <w:t>OE3</w:t>
            </w:r>
          </w:p>
        </w:tc>
        <w:tc>
          <w:tcPr>
            <w:tcW w:type="dxa" w:w="1304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30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020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96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</w:tr>
      <w:tr>
        <w:trPr>
          <w:trHeight w:val="1049" w:hRule="atLeast"/>
        </w:trPr>
        <w:tc>
          <w:tcPr>
            <w:tcW w:type="dxa" w:w="567"/>
            <w:shd w:val="clear" w:color="auto" w:fill="B3CB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5"/>
              </w:rPr>
              <w:t>OE4</w:t>
            </w:r>
          </w:p>
        </w:tc>
        <w:tc>
          <w:tcPr>
            <w:tcW w:type="dxa" w:w="1304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30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020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96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</w:tr>
      <w:tr>
        <w:trPr>
          <w:trHeight w:val="1049" w:hRule="atLeast"/>
        </w:trPr>
        <w:tc>
          <w:tcPr>
            <w:tcW w:type="dxa" w:w="567"/>
            <w:shd w:val="clear" w:color="auto" w:fill="B3CB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5"/>
              </w:rPr>
              <w:t>OE5</w:t>
            </w:r>
          </w:p>
        </w:tc>
        <w:tc>
          <w:tcPr>
            <w:tcW w:type="dxa" w:w="1304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30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020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96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4"/>
              </w:rPr>
            </w:r>
          </w:p>
        </w:tc>
      </w:tr>
    </w:tbl>
    <w:p>
      <w:pPr>
        <w:spacing w:after="0" w:before="120"/>
      </w:pPr>
      <w:r>
        <w:rPr>
          <w:rFonts w:ascii="Calibri" w:hAnsi="Calibri"/>
          <w:b w:val="0"/>
          <w:i/>
          <w:color w:val="3F3C36"/>
          <w:sz w:val="16"/>
        </w:rPr>
        <w:t>Prueba de lectura en dos direcciones:  → cada celda se deriva de la anterior   ·   ← cada análisis responde a su objetivo y ningún dato sobra   ·   ↕ los objetivos específicos, juntos, cubren el general.</w:t>
      </w:r>
    </w:p>
    <w:p>
      <w:pPr>
        <w:sectPr>
          <w:headerReference w:type="default" r:id="rId9"/>
          <w:footerReference w:type="default" r:id="rId10"/>
          <w:pgSz w:w="15840" w:h="12240" w:orient="landscape"/>
          <w:pgMar w:top="907" w:right="624" w:bottom="907" w:left="624" w:header="454" w:footer="454" w:gutter="0"/>
          <w:cols w:space="720"/>
          <w:docGrid w:linePitch="360"/>
        </w:sectPr>
      </w:pPr>
    </w:p>
    <w:p>
      <w:pPr>
        <w:spacing w:after="40" w:before="0"/>
      </w:pPr>
      <w:r>
        <w:rPr>
          <w:rFonts w:ascii="Georgia" w:hAnsi="Georgia"/>
          <w:b w:val="0"/>
          <w:i w:val="0"/>
          <w:color w:val="0A0A0C"/>
          <w:sz w:val="40"/>
        </w:rPr>
        <w:t>Ejemplo resuelto: estudio cuantitativo en salud pública</w:t>
      </w:r>
    </w:p>
    <w:p>
      <w:pPr>
        <w:spacing w:after="160" w:before="0"/>
      </w:pPr>
      <w:r>
        <w:rPr>
          <w:rFonts w:ascii="Georgia" w:hAnsi="Georgia"/>
          <w:b w:val="0"/>
          <w:i/>
          <w:color w:val="8A8578"/>
          <w:sz w:val="19"/>
        </w:rPr>
        <w:t>Ejemplo ilustrativo y ficticio, construido para mostrar la lógica de la matriz. No contiene datos reales ni corresponde a una institución concreta. No lo copies: úsalo para comparar la estructura con la de tu propuesta.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CFB8"/>
          <w:left w:val="single" w:sz="4" w:space="0" w:color="D8CFB8"/>
          <w:bottom w:val="single" w:sz="4" w:space="0" w:color="D8CFB8"/>
          <w:right w:val="single" w:sz="4" w:space="0" w:color="D8CFB8"/>
          <w:insideH w:val="single" w:sz="4" w:space="0" w:color="D8CFB8"/>
          <w:insideV w:val="single" w:sz="4" w:space="0" w:color="D8CFB8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ayout w:type="fixed"/>
      </w:tblPr>
      <w:tblGrid>
        <w:gridCol w:w="1474"/>
        <w:gridCol w:w="2268"/>
        <w:gridCol w:w="1247"/>
        <w:gridCol w:w="1928"/>
        <w:gridCol w:w="1247"/>
        <w:gridCol w:w="2154"/>
        <w:gridCol w:w="1247"/>
        <w:gridCol w:w="3027"/>
      </w:tblGrid>
      <w:tr>
        <w:trPr>
          <w:trHeight w:val="351" w:hRule="atLeast"/>
        </w:trPr>
        <w:tc>
          <w:tcPr>
            <w:tcW w:type="dxa" w:w="1474"/>
            <w:shd w:val="clear" w:color="auto" w:fill="E9E2D0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Título tentativo</w:t>
            </w:r>
          </w:p>
        </w:tc>
        <w:tc>
          <w:tcPr>
            <w:tcW w:type="dxa" w:w="13118"/>
            <w:gridSpan w:val="7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7"/>
              </w:rPr>
              <w:t>Factores asociados al control de la presión arterial en adultos de un programa de riesgo cardiovascular de una IPS de primer nivel, Manizales, 2027</w:t>
            </w:r>
          </w:p>
        </w:tc>
      </w:tr>
      <w:tr>
        <w:trPr>
          <w:trHeight w:val="351" w:hRule="atLeast"/>
        </w:trPr>
        <w:tc>
          <w:tcPr>
            <w:tcW w:type="dxa" w:w="1474"/>
            <w:shd w:val="clear" w:color="auto" w:fill="E9E2D0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Nivel</w:t>
            </w:r>
          </w:p>
        </w:tc>
        <w:tc>
          <w:tcPr>
            <w:tcW w:type="dxa" w:w="2268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7"/>
              </w:rPr>
              <w:t>Maestría</w:t>
            </w:r>
          </w:p>
        </w:tc>
        <w:tc>
          <w:tcPr>
            <w:tcW w:type="dxa" w:w="1247"/>
            <w:shd w:val="clear" w:color="auto" w:fill="E9E2D0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Enfoque</w:t>
            </w:r>
          </w:p>
        </w:tc>
        <w:tc>
          <w:tcPr>
            <w:tcW w:type="dxa" w:w="1928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7"/>
              </w:rPr>
              <w:t>Cuantitativo</w:t>
            </w:r>
          </w:p>
        </w:tc>
        <w:tc>
          <w:tcPr>
            <w:tcW w:type="dxa" w:w="1247"/>
            <w:shd w:val="clear" w:color="auto" w:fill="E9E2D0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Alcance</w:t>
            </w:r>
          </w:p>
        </w:tc>
        <w:tc>
          <w:tcPr>
            <w:tcW w:type="dxa" w:w="2154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7"/>
              </w:rPr>
              <w:t>Correlacional (asociativo)</w:t>
            </w:r>
          </w:p>
        </w:tc>
        <w:tc>
          <w:tcPr>
            <w:tcW w:type="dxa" w:w="1247"/>
            <w:shd w:val="clear" w:color="auto" w:fill="E9E2D0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Diseño</w:t>
            </w:r>
          </w:p>
        </w:tc>
        <w:tc>
          <w:tcPr>
            <w:tcW w:type="dxa" w:w="3027"/>
            <w:vAlign w:val="center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7"/>
              </w:rPr>
              <w:t>Observacional, analítico, de corte transversal</w:t>
            </w:r>
          </w:p>
        </w:tc>
      </w:tr>
    </w:tbl>
    <w:p>
      <w:pPr>
        <w:spacing w:after="40" w:before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CFB8"/>
          <w:left w:val="single" w:sz="4" w:space="0" w:color="D8CFB8"/>
          <w:bottom w:val="single" w:sz="4" w:space="0" w:color="D8CFB8"/>
          <w:right w:val="single" w:sz="4" w:space="0" w:color="D8CFB8"/>
          <w:insideH w:val="single" w:sz="4" w:space="0" w:color="D8CFB8"/>
          <w:insideV w:val="single" w:sz="4" w:space="0" w:color="D8CFB8"/>
        </w:tblBorders>
        <w:tblLayout w:type="fixed"/>
        <w:tblCellMar>
          <w:top w:w="40" w:type="dxa"/>
          <w:left w:w="55" w:type="dxa"/>
          <w:bottom w:w="40" w:type="dxa"/>
          <w:right w:w="55" w:type="dxa"/>
        </w:tblCellMar>
        <w:tblLayout w:type="fixed"/>
      </w:tblPr>
      <w:tblGrid>
        <w:gridCol w:w="567"/>
        <w:gridCol w:w="1304"/>
        <w:gridCol w:w="1247"/>
        <w:gridCol w:w="1247"/>
        <w:gridCol w:w="1304"/>
        <w:gridCol w:w="1191"/>
        <w:gridCol w:w="1134"/>
        <w:gridCol w:w="1020"/>
        <w:gridCol w:w="1134"/>
        <w:gridCol w:w="1134"/>
        <w:gridCol w:w="964"/>
        <w:gridCol w:w="1134"/>
        <w:gridCol w:w="1191"/>
      </w:tblGrid>
      <w:tr>
        <w:trPr>
          <w:tblHeader w:val="true"/>
          <w:cantSplit w:val="true"/>
        </w:trPr>
        <w:tc>
          <w:tcPr>
            <w:tcW w:type="dxa" w:w="567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N.º</w:t>
            </w:r>
          </w:p>
        </w:tc>
        <w:tc>
          <w:tcPr>
            <w:tcW w:type="dxa" w:w="130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Problema</w:t>
            </w:r>
          </w:p>
        </w:tc>
        <w:tc>
          <w:tcPr>
            <w:tcW w:type="dxa" w:w="1247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Pregunta</w:t>
            </w:r>
          </w:p>
        </w:tc>
        <w:tc>
          <w:tcPr>
            <w:tcW w:type="dxa" w:w="1247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Objetivo general</w:t>
            </w:r>
          </w:p>
        </w:tc>
        <w:tc>
          <w:tcPr>
            <w:tcW w:type="dxa" w:w="130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Objetivos específicos</w:t>
            </w:r>
          </w:p>
        </w:tc>
        <w:tc>
          <w:tcPr>
            <w:tcW w:type="dxa" w:w="1191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Hipótesis o supuestos</w:t>
            </w:r>
          </w:p>
        </w:tc>
        <w:tc>
          <w:tcPr>
            <w:tcW w:type="dxa" w:w="113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Variables o categorías</w:t>
            </w:r>
          </w:p>
        </w:tc>
        <w:tc>
          <w:tcPr>
            <w:tcW w:type="dxa" w:w="1020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Dimensiones</w:t>
            </w:r>
          </w:p>
        </w:tc>
        <w:tc>
          <w:tcPr>
            <w:tcW w:type="dxa" w:w="113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Indicadores</w:t>
            </w:r>
          </w:p>
        </w:tc>
        <w:tc>
          <w:tcPr>
            <w:tcW w:type="dxa" w:w="113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Técnica e instrumento</w:t>
            </w:r>
          </w:p>
        </w:tc>
        <w:tc>
          <w:tcPr>
            <w:tcW w:type="dxa" w:w="96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Fuente de datos</w:t>
            </w:r>
          </w:p>
        </w:tc>
        <w:tc>
          <w:tcPr>
            <w:tcW w:type="dxa" w:w="1134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Población y muestra</w:t>
            </w:r>
          </w:p>
        </w:tc>
        <w:tc>
          <w:tcPr>
            <w:tcW w:type="dxa" w:w="1191"/>
            <w:shd w:val="clear" w:color="auto" w:fill="0A0A0C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4"/>
              </w:rPr>
              <w:t>Análisis</w:t>
            </w:r>
          </w:p>
        </w:tc>
      </w:tr>
      <w:tr>
        <w:trPr>
          <w:tblHeader w:val="true"/>
          <w:cantSplit w:val="true"/>
        </w:trPr>
        <w:tc>
          <w:tcPr>
            <w:tcW w:type="dxa" w:w="567"/>
            <w:shd w:val="clear" w:color="auto" w:fill="F6F3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3F3C36"/>
                <w:sz w:val="13"/>
              </w:rPr>
              <w:t>Guía</w:t>
            </w:r>
          </w:p>
        </w:tc>
        <w:tc>
          <w:tcPr>
            <w:tcW w:type="dxa" w:w="130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¿Qué pasa, a quién, dónde y desde cuándo? ¿Con qué dato y fuente lo sustentas?</w:t>
            </w:r>
          </w:p>
        </w:tc>
        <w:tc>
          <w:tcPr>
            <w:tcW w:type="dxa" w:w="1247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¿Qué quieres saber exactamente? ¿Se responde con los datos que vas a recoger?</w:t>
            </w:r>
          </w:p>
        </w:tc>
        <w:tc>
          <w:tcPr>
            <w:tcW w:type="dxa" w:w="1247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La pregunta convertida en acción: mismo alcance, población, lugar y periodo.</w:t>
            </w:r>
          </w:p>
        </w:tc>
        <w:tc>
          <w:tcPr>
            <w:tcW w:type="dxa" w:w="130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Un conocimiento por obtener en cada fila, no una actividad.</w:t>
            </w:r>
          </w:p>
        </w:tc>
        <w:tc>
          <w:tcPr>
            <w:tcW w:type="dxa" w:w="1191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Respuesta anticipada y contrastable (cuantitativo) o supuestos y categorías de partida (cualitativo).</w:t>
            </w:r>
          </w:p>
        </w:tc>
        <w:tc>
          <w:tcPr>
            <w:tcW w:type="dxa" w:w="113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Lo que observarás en esta fila, con su tipo y nivel de medición.</w:t>
            </w:r>
          </w:p>
        </w:tc>
        <w:tc>
          <w:tcPr>
            <w:tcW w:type="dxa" w:w="1020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Las facetas en que se descompone cada variable o categoría.</w:t>
            </w:r>
          </w:p>
        </w:tc>
        <w:tc>
          <w:tcPr>
            <w:tcW w:type="dxa" w:w="113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Lo que se registra: unidad, categorías o punto de corte.</w:t>
            </w:r>
          </w:p>
        </w:tc>
        <w:tc>
          <w:tcPr>
            <w:tcW w:type="dxa" w:w="113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Cómo y con qué se recoge. ¿Validado o con plan de validación?</w:t>
            </w:r>
          </w:p>
        </w:tc>
        <w:tc>
          <w:tcPr>
            <w:tcW w:type="dxa" w:w="96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Primaria (la recoges tú) o secundaria (registros, bases, historias).</w:t>
            </w:r>
          </w:p>
        </w:tc>
        <w:tc>
          <w:tcPr>
            <w:tcW w:type="dxa" w:w="1134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Unidad de análisis, criterios, muestreo y tamaño (o criterio de suficiencia).</w:t>
            </w:r>
          </w:p>
        </w:tc>
        <w:tc>
          <w:tcPr>
            <w:tcW w:type="dxa" w:w="1191"/>
            <w:shd w:val="clear" w:color="auto" w:fill="F6F3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/>
                <w:color w:val="3F3C36"/>
                <w:sz w:val="12"/>
              </w:rPr>
              <w:t>La técnica que responde exactamente al objetivo de esta fila.</w:t>
            </w:r>
          </w:p>
        </w:tc>
      </w:tr>
      <w:tr>
        <w:trPr>
          <w:trHeight w:val="567" w:hRule="atLeast"/>
        </w:trPr>
        <w:tc>
          <w:tcPr>
            <w:tcW w:type="dxa" w:w="567"/>
            <w:shd w:val="clear" w:color="auto" w:fill="B3CB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5"/>
              </w:rPr>
              <w:t>OE1</w:t>
            </w:r>
          </w:p>
        </w:tc>
        <w:tc>
          <w:tcPr>
            <w:tcW w:type="dxa" w:w="1304"/>
            <w:vMerge w:val="restart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En el programa de riesgo cardiovascular de la IPS, una parte de los adultos con hipertensión no alcanza la meta de presión arterial que fija la guía adoptada por el programa [aquí va el dato de la línea de base y su fuente]. La IPS no ha estudiado qué características se asocian con el control, lo que le impide focalizar sus intervenciones.</w:t>
            </w:r>
          </w:p>
        </w:tc>
        <w:tc>
          <w:tcPr>
            <w:tcW w:type="dxa" w:w="1247"/>
            <w:vMerge w:val="restart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¿Qué factores sociodemográficos, clínicos y de adherencia al tratamiento farmacológico se asocian con el control de la presión arterial en los adultos del programa de riesgo cardiovascular de la IPS, en el primer semestre de 2027?</w:t>
            </w:r>
          </w:p>
        </w:tc>
        <w:tc>
          <w:tcPr>
            <w:tcW w:type="dxa" w:w="1247"/>
            <w:vMerge w:val="restart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Determinar los factores sociodemográficos, clínicos y de adherencia al tratamiento farmacológico asociados con el control de la presión arterial en los adultos del programa de riesgo cardiovascular de la IPS, en el primer semestre de 2027.</w:t>
            </w:r>
          </w:p>
        </w:tc>
        <w:tc>
          <w:tcPr>
            <w:tcW w:type="dxa" w:w="130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1. Describir las características sociodemográficas y clínicas de los adultos del programa.</w:t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No aplica: objetivo descriptivo.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Edad (razón)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Sexo (nominal)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Escolaridad (ordinal)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Número de antihipertensivos (razón, discreta)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Diabetes mellitus (nominal dicotómica)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Tiempo en el programa (razón)</w:t>
            </w:r>
          </w:p>
        </w:tc>
        <w:tc>
          <w:tcPr>
            <w:tcW w:type="dxa" w:w="1020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Sociodemográfica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Clínica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Años cumplidos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Sexo registrado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Último nivel educativo aprobado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Antihipertensivos formulados vigentes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Diagnóstico registrado (sí / no)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Meses desde el ingreso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Revisión documental con formato de extracción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Encuesta con cuestionario sociodemográfico (escolaridad)</w:t>
            </w:r>
          </w:p>
        </w:tc>
        <w:tc>
          <w:tcPr>
            <w:tcW w:type="dxa" w:w="96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Historia clínica y registro del programa (secundaria)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Paciente (primaria)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Adultos de 18 años o más inscritos en el programa, con diagnóstico de hipertensión de al menos 6 meses. Inclusión: medición de presión arterial en los últimos 3 meses y consentimiento. Exclusión: embarazo; condición cognitiva que impida responder. Muestreo aleatorio simple sobre el listado de pacientes activos. Tamaño ilustrativo: 325 (proporción; N = 1.200; p = 0,5; confianza del 95 %; error del 5 %; 10 % de no respuesta).</w:t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Frecuencias y porcentajes (cualitativas). Media y desviación estándar, o mediana y rango intercuartílico según la distribución (cuantitativas).</w:t>
            </w:r>
          </w:p>
        </w:tc>
      </w:tr>
      <w:tr>
        <w:trPr>
          <w:trHeight w:val="567" w:hRule="atLeast"/>
        </w:trPr>
        <w:tc>
          <w:tcPr>
            <w:tcW w:type="dxa" w:w="567"/>
            <w:shd w:val="clear" w:color="auto" w:fill="B3CB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5"/>
              </w:rPr>
              <w:t>OE2</w:t>
            </w:r>
          </w:p>
        </w:tc>
        <w:tc>
          <w:tcPr>
            <w:tcW w:type="dxa" w:w="1304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30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2. Estimar la proporción de adultos con presión arterial controlada.</w:t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No aplica: objetivo descriptivo.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Control de la presión arterial (dependiente; nominal dicotómica)</w:t>
            </w:r>
          </w:p>
        </w:tc>
        <w:tc>
          <w:tcPr>
            <w:tcW w:type="dxa" w:w="1020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Cifras tensionales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Presión sistólica y diastólica de la última medición (mmHg). Controlada si cumple la meta de la guía adoptada (por ejemplo, &lt; 140/90 mmHg).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Revisión documental con formato de extracción</w:t>
            </w:r>
          </w:p>
        </w:tc>
        <w:tc>
          <w:tcPr>
            <w:tcW w:type="dxa" w:w="96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Historia clínica (secundaria)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La misma de la fila 1. El tamaño se calculó para este objetivo (estimar una proporción).</w:t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Proporción con intervalo de confianza del 95 %.</w:t>
            </w:r>
          </w:p>
        </w:tc>
      </w:tr>
      <w:tr>
        <w:trPr>
          <w:trHeight w:val="567" w:hRule="atLeast"/>
        </w:trPr>
        <w:tc>
          <w:tcPr>
            <w:tcW w:type="dxa" w:w="567"/>
            <w:shd w:val="clear" w:color="auto" w:fill="B3CB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5"/>
              </w:rPr>
              <w:t>OE3</w:t>
            </w:r>
          </w:p>
        </w:tc>
        <w:tc>
          <w:tcPr>
            <w:tcW w:type="dxa" w:w="1304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30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3. Establecer la asociación entre la adherencia al tratamiento farmacológico y el control de la presión arterial.</w:t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H1: la proporción de control es mayor en los adultos adherentes que en los no adherentes.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H0: la proporción de control no difiere según la adherencia.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Adherencia al tratamiento farmacológico (independiente principal; nominal dicotómica)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Control de la presión arterial (dependiente)</w:t>
            </w:r>
          </w:p>
        </w:tc>
        <w:tc>
          <w:tcPr>
            <w:tcW w:type="dxa" w:w="1020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Conducta de toma de medicamentos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Cifras tensionales (fila 2)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Puntaje en una escala de adherencia autorreportada validada en español; adherente o no adherente según el punto de corte de su validación.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Control: el de la fila 2.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Encuesta con escala de adherencia validada (verificar versión, validación en población similar y condiciones de uso)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Revisión documental (fila 2)</w:t>
            </w:r>
          </w:p>
        </w:tc>
        <w:tc>
          <w:tcPr>
            <w:tcW w:type="dxa" w:w="96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Paciente (primaria)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Historia clínica (secundaria)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La misma de la fila 1. Si este es tu objetivo principal, calcula también la potencia para la comparación y usa el tamaño mayor.</w:t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Tabla de contingencia. Chi cuadrado de Pearson (prueba exacta de Fisher si alguna frecuencia esperada es menor de 5). Razón de prevalencias con IC del 95 %.</w:t>
            </w:r>
          </w:p>
        </w:tc>
      </w:tr>
      <w:tr>
        <w:trPr>
          <w:trHeight w:val="567" w:hRule="atLeast"/>
        </w:trPr>
        <w:tc>
          <w:tcPr>
            <w:tcW w:type="dxa" w:w="567"/>
            <w:shd w:val="clear" w:color="auto" w:fill="B3CBEB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5"/>
              </w:rPr>
              <w:t>OE4</w:t>
            </w:r>
          </w:p>
        </w:tc>
        <w:tc>
          <w:tcPr>
            <w:tcW w:type="dxa" w:w="1304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247"/>
            <w:vMerge/>
          </w:tcPr>
          <w:p/>
        </w:tc>
        <w:tc>
          <w:tcPr>
            <w:tcW w:type="dxa" w:w="130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4. Identificar los factores asociados con el control de la presión arterial, ajustando por posibles variables de confusión.</w:t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H2: la adherencia se mantiene asociada con el control después de ajustar por edad, sexo, escolaridad, número de antihipertensivos, diabetes y tiempo en el programa.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Control de la presión arterial (dependiente)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Adherencia (independiente principal)</w:t>
            </w:r>
          </w:p>
          <w:p>
            <w:pPr>
              <w:spacing w:after="20" w:before="0" w:line="240" w:lineRule="auto"/>
            </w:pPr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Edad, sexo, escolaridad, número de antihipertensivos, diabetes y tiempo en el programa (covariables)</w:t>
            </w:r>
          </w:p>
        </w:tc>
        <w:tc>
          <w:tcPr>
            <w:tcW w:type="dxa" w:w="1020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Las de las filas 1 a 3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Los de las filas 1 a 3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Las de las filas 1 a 3</w:t>
            </w:r>
          </w:p>
        </w:tc>
        <w:tc>
          <w:tcPr>
            <w:tcW w:type="dxa" w:w="96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Historia clínica y paciente</w:t>
            </w:r>
          </w:p>
        </w:tc>
        <w:tc>
          <w:tcPr>
            <w:tcW w:type="dxa" w:w="1134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La misma de la fila 1. Verificar al menos 10 eventos por parámetro del modelo (Peduzzi et al., 1996): 7 parámetros, si cada variable aporta uno, exigen al menos 70 personas en la categoría menos frecuente del desenlace. Si la escolaridad entra con varias categorías, cada categoría adicional suma un parámetro.</w:t>
            </w:r>
          </w:p>
        </w:tc>
        <w:tc>
          <w:tcPr>
            <w:tcW w:type="dxa" w:w="1191"/>
          </w:tcPr>
          <w:p>
            <w:pPr>
              <w:spacing w:after="2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0A0A0C"/>
                <w:sz w:val="13"/>
              </w:rPr>
              <w:t>Regresión de Poisson con varianza robusta: razones de prevalencia ajustadas con IC del 95 % (Barros y Hirakata, 2003). Significancia de 0,05. Software: R, Stata o SPSS. Informar el manejo de datos faltantes.</w:t>
            </w:r>
          </w:p>
        </w:tc>
      </w:tr>
    </w:tbl>
    <w:p>
      <w:pPr>
        <w:spacing w:after="0" w:before="120"/>
      </w:pPr>
      <w:r>
        <w:rPr>
          <w:rFonts w:ascii="Calibri" w:hAnsi="Calibri"/>
          <w:b w:val="0"/>
          <w:i/>
          <w:color w:val="3F3C36"/>
          <w:sz w:val="16"/>
        </w:rPr>
        <w:t>Referencias citadas en el ejemplo: Peduzzi et al. (1996) y Barros y Hirakata (2003). El ejemplo cualitativo y las referencias completas están en la guía PDF y en el Excel del kit.</w:t>
      </w:r>
    </w:p>
    <w:p>
      <w:pPr>
        <w:sectPr>
          <w:headerReference w:type="default" r:id="rId11"/>
          <w:footerReference w:type="default" r:id="rId12"/>
          <w:pgSz w:w="15840" w:h="12240" w:orient="landscape"/>
          <w:pgMar w:top="907" w:right="624" w:bottom="907" w:left="624" w:header="454" w:footer="454" w:gutter="0"/>
          <w:cols w:space="720"/>
          <w:docGrid w:linePitch="360"/>
        </w:sectPr>
      </w:pPr>
    </w:p>
    <w:p>
      <w:pPr>
        <w:spacing w:after="40" w:before="0"/>
      </w:pPr>
      <w:r>
        <w:rPr>
          <w:rFonts w:ascii="Georgia" w:hAnsi="Georgia"/>
          <w:b w:val="0"/>
          <w:i w:val="0"/>
          <w:color w:val="0A0A0C"/>
          <w:sz w:val="40"/>
        </w:rPr>
        <w:t>Lista de verificación: 35 puntos antes de radicar</w:t>
      </w:r>
    </w:p>
    <w:p>
      <w:pPr>
        <w:spacing w:after="160" w:before="0"/>
      </w:pPr>
      <w:r>
        <w:rPr>
          <w:rFonts w:ascii="Calibri" w:hAnsi="Calibri"/>
          <w:b w:val="0"/>
          <w:i w:val="0"/>
          <w:color w:val="3F3C36"/>
          <w:sz w:val="19"/>
        </w:rPr>
        <w:t>Marca cada punto como Sí, Parcial o No. Suma 1 por cada Sí y 0,5 por cada Parcial; tu avance es ese total dividido entre 35. Cada No es un punto que un jurado probablemente señalará: atiéndelo antes de radicar. El avance mide qué tan completa y coherente está tu propuesta frente a esta lista, no predice la decisión de tus jurados.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CFB8"/>
          <w:left w:val="single" w:sz="4" w:space="0" w:color="D8CFB8"/>
          <w:bottom w:val="single" w:sz="4" w:space="0" w:color="D8CFB8"/>
          <w:right w:val="single" w:sz="4" w:space="0" w:color="D8CFB8"/>
          <w:insideH w:val="single" w:sz="4" w:space="0" w:color="D8CFB8"/>
          <w:insideV w:val="single" w:sz="4" w:space="0" w:color="D8CFB8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ayout w:type="fixed"/>
      </w:tblPr>
      <w:tblGrid>
        <w:gridCol w:w="510"/>
        <w:gridCol w:w="6293"/>
        <w:gridCol w:w="652"/>
        <w:gridCol w:w="737"/>
        <w:gridCol w:w="652"/>
      </w:tblGrid>
      <w:tr>
        <w:trPr>
          <w:tblHeader w:val="true"/>
        </w:trPr>
        <w:tc>
          <w:tcPr>
            <w:tcW w:type="dxa" w:w="510"/>
            <w:shd w:val="clear" w:color="auto" w:fill="0A0A0C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6"/>
              </w:rPr>
              <w:t>N.º</w:t>
            </w:r>
          </w:p>
        </w:tc>
        <w:tc>
          <w:tcPr>
            <w:tcW w:type="dxa" w:w="6293"/>
            <w:shd w:val="clear" w:color="auto" w:fill="0A0A0C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E9E2D0"/>
                <w:sz w:val="16"/>
              </w:rPr>
              <w:t>Punto de verificación</w:t>
            </w:r>
          </w:p>
        </w:tc>
        <w:tc>
          <w:tcPr>
            <w:tcW w:type="dxa" w:w="652"/>
            <w:shd w:val="clear" w:color="auto" w:fill="0A0A0C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6"/>
              </w:rPr>
              <w:t>Sí</w:t>
            </w:r>
          </w:p>
        </w:tc>
        <w:tc>
          <w:tcPr>
            <w:tcW w:type="dxa" w:w="737"/>
            <w:shd w:val="clear" w:color="auto" w:fill="0A0A0C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6"/>
              </w:rPr>
              <w:t>Parcial</w:t>
            </w:r>
          </w:p>
        </w:tc>
        <w:tc>
          <w:tcPr>
            <w:tcW w:type="dxa" w:w="652"/>
            <w:shd w:val="clear" w:color="auto" w:fill="0A0A0C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E9E2D0"/>
                <w:sz w:val="16"/>
              </w:rPr>
              <w:t>No</w:t>
            </w:r>
          </w:p>
        </w:tc>
      </w:tr>
      <w:tr>
        <w:trPr>
          <w:cantSplit w:val="true"/>
        </w:trPr>
        <w:tc>
          <w:tcPr>
            <w:tcW w:type="dxa" w:w="652"/>
            <w:gridSpan w:val="5"/>
            <w:shd w:val="clear" w:color="auto" w:fill="E9E2D0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A  ·  PROBLEMA Y JUSTIFICACIÓN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1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El problema dice qué pasa, a quién, dónde y desde cuándo.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2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El problema se sustenta con datos o estudios citados, no solo con opiniones.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3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La justificación explica qué vacío de conocimiento o de práctica atiende el estudio y a quién le sirve.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52"/>
            <w:gridSpan w:val="5"/>
            <w:shd w:val="clear" w:color="auto" w:fill="E9E2D0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B  ·  PREGUNTA Y OBJETIVOS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4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Hay una pregunta principal que se puede responder con los datos que vas a recoger.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5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La pregunta y el objetivo general tienen el mismo alcance, población, lugar y periodo.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6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El objetivo general usa un solo verbo en infinitivo, verificable.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7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Cada objetivo específico es un paso necesario para el general y ninguno lo excede.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8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Los objetivos específicos son conocimientos por obtener, no actividades.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9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Cada objetivo específico tiene en la matriz su variable o categoría, su técnica de recolección y su análisis.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52"/>
            <w:gridSpan w:val="5"/>
            <w:shd w:val="clear" w:color="auto" w:fill="E9E2D0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C  ·  HIPÓTESIS O SUPUESTOS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10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Si el estudio es cuantitativo y de alcance correlacional, comparativo o explicativo, formula hipótesis contrastables.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11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Cada hipótesis tiene asignada una prueba o un modelo en el plan de análisis.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12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La hipótesis no afirma causalidad si el diseño no permite establecerla.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13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En estudios cualitativos, los supuestos y las categorías de partida se presentan como punto de partida, no como resultados.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52"/>
            <w:gridSpan w:val="5"/>
            <w:shd w:val="clear" w:color="auto" w:fill="E9E2D0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D  ·  MARCO TEÓRICO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14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Cada variable o categoría tiene una definición conceptual respaldada por autores.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15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El estado del arte sintetiza y contrasta estudios pertinentes y recientes, no solo los resume uno tras otro.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52"/>
            <w:gridSpan w:val="5"/>
            <w:shd w:val="clear" w:color="auto" w:fill="E9E2D0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E  ·  VARIABLES Y OPERACIONALIZACIÓN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16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Toda variable nombrada en los objetivos o las hipótesis aparece operacionalizada.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17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No se recogen datos que ningún objetivo vaya a usar.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18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Cada variable tiene dimensiones e indicadores observables, con unidad, categorías o punto de corte.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19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Se declara el tipo de cada variable y su nivel de medición (nominal, ordinal, de intervalo o de razón).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20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En estudios analíticos, se identifican las posibles variables de confusión y cómo se controlarán.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52"/>
            <w:gridSpan w:val="5"/>
            <w:shd w:val="clear" w:color="auto" w:fill="E9E2D0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F  ·  DISEÑO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21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Se declaran enfoque, alcance y diseño, y el diseño permite responder la pregunta.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22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La temporalidad es coherente con la pregunta (transversal o longitudinal; retrospectivo o prospectivo).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23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Si la pregunta es de efecto, hay grupo de comparación o medición antes y después; si no, la limitación está declarada.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52"/>
            <w:gridSpan w:val="5"/>
            <w:shd w:val="clear" w:color="auto" w:fill="E9E2D0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G  ·  POBLACIÓN Y MUESTRA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24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Se definen la unidad de análisis, la población y los criterios de inclusión y exclusión.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25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Se describen el marco muestral y el tipo de muestreo.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26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El tamaño de la muestra se justifica con fórmula y parámetros citados o, en cualitativo, con un criterio de suficiencia.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27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Las conclusiones previstas no van más allá de lo que permite el muestreo.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52"/>
            <w:gridSpan w:val="5"/>
            <w:shd w:val="clear" w:color="auto" w:fill="E9E2D0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H  ·  INSTRUMENTOS Y RECOLECCIÓN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28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Para cada variable se indican técnica, instrumento y fuente de datos.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29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Los instrumentos tienen evidencia de validez en una población similar o hay plan de juicio de expertos y prueba piloto.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30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Se informa la confiabilidad esperada o cómo se estimará.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52"/>
            <w:gridSpan w:val="5"/>
            <w:shd w:val="clear" w:color="auto" w:fill="E9E2D0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I  ·  PLAN DE ANÁLISIS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31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Hay una técnica de análisis por objetivo específico, coherente con el tipo de variable o de dato.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32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Se indican software, nivel de significancia y manejo de datos faltantes o, en cualitativo, el procedimiento de codificación y los criterios de rigor.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652"/>
            <w:gridSpan w:val="5"/>
            <w:shd w:val="clear" w:color="auto" w:fill="E9E2D0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J  ·  ÉTICA Y VIABILIDAD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33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Se prevén clasificación del riesgo, consentimiento informado y aval del comité de ética (en salud, según la Resolución 8430 de 1993).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34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Se prevén las autorizaciones institucionales y el tratamiento de datos personales conforme a la Ley 1581 de 2012.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0A0A0C"/>
                <w:sz w:val="17"/>
              </w:rPr>
              <w:t>35</w:t>
            </w:r>
          </w:p>
        </w:tc>
        <w:tc>
          <w:tcPr>
            <w:tcW w:type="dxa" w:w="6293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7"/>
              </w:rPr>
              <w:t>El cronograma y el presupuesto son realistas para la recolección y el análisis previstos.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737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  <w:tc>
          <w:tcPr>
            <w:tcW w:type="dxa" w:w="652"/>
            <w:vAlign w:val="center"/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Segoe UI Symbol" w:hAnsi="Segoe UI Symbol"/>
                <w:b w:val="0"/>
                <w:i w:val="0"/>
                <w:color w:val="0A0A0C"/>
                <w:sz w:val="20"/>
              </w:rPr>
              <w:t>☐</w:t>
            </w:r>
          </w:p>
        </w:tc>
      </w:tr>
    </w:tbl>
    <w:p>
      <w:pPr>
        <w:spacing w:after="80" w:before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A0A0C"/>
          <w:left w:val="single" w:sz="6" w:space="0" w:color="0A0A0C"/>
          <w:bottom w:val="single" w:sz="6" w:space="0" w:color="0A0A0C"/>
          <w:right w:val="single" w:sz="6" w:space="0" w:color="0A0A0C"/>
          <w:insideH w:val="single" w:sz="6" w:space="0" w:color="0A0A0C"/>
          <w:insideV w:val="single" w:sz="6" w:space="0" w:color="0A0A0C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ayout w:type="fixed"/>
      </w:tblPr>
      <w:tblGrid>
        <w:gridCol w:w="1361"/>
        <w:gridCol w:w="1361"/>
        <w:gridCol w:w="1361"/>
        <w:gridCol w:w="1361"/>
        <w:gridCol w:w="3402"/>
      </w:tblGrid>
      <w:tr>
        <w:tc>
          <w:tcPr>
            <w:tcW w:type="dxa" w:w="1361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Sí</w:t>
            </w:r>
          </w:p>
        </w:tc>
        <w:tc>
          <w:tcPr>
            <w:tcW w:type="dxa" w:w="1361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Parcial</w:t>
            </w:r>
          </w:p>
        </w:tc>
        <w:tc>
          <w:tcPr>
            <w:tcW w:type="dxa" w:w="1361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No</w:t>
            </w:r>
          </w:p>
        </w:tc>
        <w:tc>
          <w:tcPr>
            <w:tcW w:type="dxa" w:w="1361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Total</w:t>
            </w:r>
          </w:p>
        </w:tc>
        <w:tc>
          <w:tcPr>
            <w:tcW w:type="dxa" w:w="3402"/>
            <w:shd w:val="clear" w:color="auto" w:fill="B3CB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/>
                <w:i w:val="0"/>
                <w:color w:val="0A0A0C"/>
                <w:sz w:val="16"/>
              </w:rPr>
              <w:t>Avance</w:t>
            </w:r>
          </w:p>
        </w:tc>
      </w:tr>
      <w:tr>
        <w:trPr>
          <w:trHeight w:val="510" w:hRule="atLeast"/>
        </w:trPr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1361"/>
          </w:tcPr>
          <w:p/>
        </w:tc>
        <w:tc>
          <w:tcPr>
            <w:tcW w:type="dxa" w:w="3402"/>
            <w:shd w:val="clear" w:color="auto" w:fill="B3CBEB"/>
          </w:tcPr>
          <w:p>
            <w:pPr>
              <w:spacing w:after="0" w:before="0" w:line="240" w:lineRule="auto"/>
            </w:pPr>
            <w:r/>
            <w:r>
              <w:rPr>
                <w:rFonts w:ascii="Calibri" w:hAnsi="Calibri"/>
                <w:b w:val="0"/>
                <w:i w:val="0"/>
                <w:color w:val="3F3C36"/>
                <w:sz w:val="18"/>
              </w:rPr>
              <w:t>(Sí + 0,5 × Parcial) / 35 = ______ %</w:t>
            </w:r>
          </w:p>
        </w:tc>
      </w:tr>
    </w:tbl>
    <w:p>
      <w:pPr>
        <w:spacing w:after="60" w:before="200"/>
      </w:pPr>
      <w:r>
        <w:rPr>
          <w:rFonts w:ascii="Georgia" w:hAnsi="Georgia"/>
          <w:b/>
          <w:i w:val="0"/>
          <w:color w:val="0A0A0C"/>
          <w:sz w:val="22"/>
        </w:rPr>
        <w:t>Cómo leer tu resultado</w:t>
      </w:r>
    </w:p>
    <w:p>
      <w:pPr>
        <w:pStyle w:val="ListBullet"/>
        <w:spacing w:after="40"/>
      </w:pPr>
      <w:r>
        <w:rPr>
          <w:b/>
          <w:color w:val="0A0A0C"/>
          <w:sz w:val="19"/>
        </w:rPr>
        <w:t xml:space="preserve">Un No en las secciones B, E, G o I </w:t>
      </w:r>
      <w:r>
        <w:rPr>
          <w:color w:val="3F3C36"/>
          <w:sz w:val="19"/>
        </w:rPr>
        <w:t>es un eslabón roto del hilo: resuélvelo antes de pulir la redacción.</w:t>
      </w:r>
    </w:p>
    <w:p>
      <w:pPr>
        <w:pStyle w:val="ListBullet"/>
        <w:spacing w:after="40"/>
      </w:pPr>
      <w:r>
        <w:rPr>
          <w:b/>
          <w:color w:val="0A0A0C"/>
          <w:sz w:val="19"/>
        </w:rPr>
        <w:t xml:space="preserve">Varios Parcial en una misma sección </w:t>
      </w:r>
      <w:r>
        <w:rPr>
          <w:color w:val="3F3C36"/>
          <w:sz w:val="19"/>
        </w:rPr>
        <w:t>piden una revisión de fondo de esa sección, no ajustes de forma.</w:t>
      </w:r>
    </w:p>
    <w:p>
      <w:pPr>
        <w:pStyle w:val="ListBullet"/>
        <w:spacing w:after="40"/>
      </w:pPr>
      <w:r>
        <w:rPr>
          <w:b/>
          <w:color w:val="0A0A0C"/>
          <w:sz w:val="19"/>
        </w:rPr>
        <w:t xml:space="preserve">Si tu avance es alto y la propuesta sigue volviendo, </w:t>
      </w:r>
      <w:r>
        <w:rPr>
          <w:color w:val="3F3C36"/>
          <w:sz w:val="19"/>
        </w:rPr>
        <w:t>pide a tu director que te señale en la matriz el eslabón exacto que le preocupa.</w:t>
      </w:r>
    </w:p>
    <w:p>
      <w:pPr>
        <w:pStyle w:val="ListBullet"/>
        <w:spacing w:after="40"/>
      </w:pPr>
      <w:r>
        <w:rPr>
          <w:b/>
          <w:color w:val="0A0A0C"/>
          <w:sz w:val="19"/>
        </w:rPr>
        <w:t xml:space="preserve">Repite la lista </w:t>
      </w:r>
      <w:r>
        <w:rPr>
          <w:color w:val="3F3C36"/>
          <w:sz w:val="19"/>
        </w:rPr>
        <w:t>cada vez que cambies el problema, la pregunta o el diseño: un cambio arriba mueve todo lo de abajo.</w:t>
      </w:r>
    </w:p>
    <w:p>
      <w:pPr>
        <w:spacing w:after="60" w:before="200"/>
      </w:pPr>
      <w:r>
        <w:rPr>
          <w:rFonts w:ascii="Georgia" w:hAnsi="Georgia"/>
          <w:b/>
          <w:i w:val="0"/>
          <w:color w:val="0A0A0C"/>
          <w:sz w:val="22"/>
        </w:rPr>
        <w:t>Siguiente paso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3F3C36"/>
          <w:sz w:val="19"/>
        </w:rPr>
        <w:t>Si encontraste eslabones que no sabes cómo reforzar, escríbenos. En un diagnóstico inicial sin costo revisamos contigo dónde está la ruptura y qué caminos tienes para resolverla. No redactamos tu propuesta por ti: te acompañamos para que la defiendas con tu propio criterio.</w:t>
      </w:r>
    </w:p>
    <w:p>
      <w:pPr>
        <w:spacing w:after="160" w:before="0"/>
      </w:pPr>
      <w:r>
        <w:rPr>
          <w:rFonts w:ascii="Calibri" w:hAnsi="Calibri"/>
          <w:b/>
          <w:i w:val="0"/>
          <w:color w:val="0A0A0C"/>
          <w:sz w:val="20"/>
        </w:rPr>
        <w:t>WhatsApp +57 314 309 4641  ·  elmetodoconsulting.com</w:t>
      </w:r>
    </w:p>
    <w:p>
      <w:pPr>
        <w:spacing w:after="0" w:before="0"/>
      </w:pPr>
      <w:r>
        <w:rPr>
          <w:rFonts w:ascii="Calibri" w:hAnsi="Calibri"/>
          <w:b w:val="0"/>
          <w:i/>
          <w:color w:val="8A8578"/>
          <w:sz w:val="16"/>
        </w:rPr>
        <w:t>Este kit es material de orientación metodológica general. No sustituye las normas de tu programa, el criterio de tu director ni la evaluación de tus jurados, y su uso no garantiza la aprobación de tu propuesta.</w:t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417" w:right="1701" w:bottom="1417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92" w:val="right"/>
      </w:tabs>
      <w:spacing w:after="0"/>
    </w:pPr>
    <w:r/>
    <w:r>
      <w:rPr>
        <w:rFonts w:ascii="Georgia" w:hAnsi="Georgia"/>
        <w:i/>
        <w:color w:val="8A8578"/>
        <w:sz w:val="18"/>
      </w:rPr>
      <w:t>Convertimos ideas complejas en trabajos que impresionan.</w:t>
    </w:r>
    <w:r>
      <w:tab/>
    </w:r>
    <w:r>
      <w:rPr>
        <w:rFonts w:ascii="Calibri" w:hAnsi="Calibri"/>
        <w:b/>
        <w:color w:val="3F3C36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92" w:val="right"/>
      </w:tabs>
      <w:spacing w:after="0"/>
    </w:pPr>
    <w:r/>
    <w:r>
      <w:rPr>
        <w:rFonts w:ascii="Georgia" w:hAnsi="Georgia"/>
        <w:i/>
        <w:color w:val="8A8578"/>
        <w:sz w:val="18"/>
      </w:rPr>
      <w:t>Convertimos ideas complejas en trabajos que impresionan.</w:t>
    </w:r>
    <w:r>
      <w:tab/>
    </w:r>
    <w:r>
      <w:rPr>
        <w:rFonts w:ascii="Calibri" w:hAnsi="Calibri"/>
        <w:b/>
        <w:color w:val="3F3C36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8838" w:val="right"/>
      </w:tabs>
      <w:spacing w:after="0"/>
    </w:pPr>
    <w:r/>
    <w:r>
      <w:rPr>
        <w:rFonts w:ascii="Georgia" w:hAnsi="Georgia"/>
        <w:i/>
        <w:color w:val="8A8578"/>
        <w:sz w:val="18"/>
      </w:rPr>
      <w:t>Convertimos ideas complejas en trabajos que impresionan.</w:t>
    </w:r>
    <w:r>
      <w:tab/>
    </w:r>
    <w:r>
      <w:rPr>
        <w:rFonts w:ascii="Calibri" w:hAnsi="Calibri"/>
        <w:b/>
        <w:color w:val="3F3C36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92" w:val="right"/>
      </w:tabs>
      <w:spacing w:after="0"/>
      <w:pBdr>
        <w:bottom w:val="single" w:sz="6" w:space="4" w:color="D8CFB8"/>
      </w:pBdr>
    </w:pPr>
    <w:r/>
    <w:r>
      <w:rPr>
        <w:rFonts w:ascii="Cambria Math" w:hAnsi="Cambria Math"/>
        <w:b/>
        <w:color w:val="C9A24B"/>
        <w:sz w:val="20"/>
      </w:rPr>
      <w:t>⟡</w:t>
    </w:r>
    <w:r>
      <w:rPr>
        <w:rFonts w:ascii="Georgia" w:hAnsi="Georgia"/>
        <w:b/>
        <w:color w:val="0A0A0C"/>
        <w:sz w:val="20"/>
      </w:rPr>
      <w:t xml:space="preserve"> El Método</w:t>
    </w:r>
    <w:r>
      <w:rPr>
        <w:rFonts w:ascii="Georgia" w:hAnsi="Georgia"/>
        <w:i/>
        <w:color w:val="8A8578"/>
        <w:sz w:val="17"/>
      </w:rPr>
      <w:tab/>
      <w:t>Kit Propuesta a Prueba de Jurados · Matriz de coherencia</w:t>
    </w:r>
  </w:p>
  <w:p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399433" cy="1577340"/>
          <wp:effectExtent l="0" t="0" r="0" b="0"/>
          <wp:wrapNone/>
          <wp:docPr id="990" name="Marca de agua El Méto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0" name="Logo El Método"/>
                  <pic:cNvPicPr/>
                </pic:nvPicPr>
                <pic:blipFill>
                  <a:blip r:embed="rId100"/>
                  <a:stretch>
                    <a:fillRect/>
                  </a:stretch>
                </pic:blipFill>
                <pic:spPr>
                  <a:xfrm>
                    <a:off x="0" y="0"/>
                    <a:ext cx="7399433" cy="157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4592" w:val="right"/>
      </w:tabs>
      <w:spacing w:after="0"/>
      <w:pBdr>
        <w:bottom w:val="single" w:sz="6" w:space="4" w:color="D8CFB8"/>
      </w:pBdr>
    </w:pPr>
    <w:r/>
    <w:r>
      <w:rPr>
        <w:rFonts w:ascii="Cambria Math" w:hAnsi="Cambria Math"/>
        <w:b/>
        <w:color w:val="C9A24B"/>
        <w:sz w:val="20"/>
      </w:rPr>
      <w:t>⟡</w:t>
    </w:r>
    <w:r>
      <w:rPr>
        <w:rFonts w:ascii="Georgia" w:hAnsi="Georgia"/>
        <w:b/>
        <w:color w:val="0A0A0C"/>
        <w:sz w:val="20"/>
      </w:rPr>
      <w:t xml:space="preserve"> El Método</w:t>
    </w:r>
    <w:r>
      <w:rPr>
        <w:rFonts w:ascii="Georgia" w:hAnsi="Georgia"/>
        <w:i/>
        <w:color w:val="8A8578"/>
        <w:sz w:val="17"/>
      </w:rPr>
      <w:tab/>
      <w:t>Kit Propuesta a Prueba de Jurados · Matriz de coherencia</w:t>
    </w:r>
  </w:p>
  <w:p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399433" cy="1577340"/>
          <wp:effectExtent l="0" t="0" r="0" b="0"/>
          <wp:wrapNone/>
          <wp:docPr id="991" name="Marca de agua El Méto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1" name="Logo El Método"/>
                  <pic:cNvPicPr/>
                </pic:nvPicPr>
                <pic:blipFill>
                  <a:blip r:embed="rId100"/>
                  <a:stretch>
                    <a:fillRect/>
                  </a:stretch>
                </pic:blipFill>
                <pic:spPr>
                  <a:xfrm>
                    <a:off x="0" y="0"/>
                    <a:ext cx="7399433" cy="157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8838" w:val="right"/>
      </w:tabs>
      <w:spacing w:after="0"/>
      <w:pBdr>
        <w:bottom w:val="single" w:sz="6" w:space="4" w:color="D8CFB8"/>
      </w:pBdr>
    </w:pPr>
    <w:r/>
    <w:r>
      <w:rPr>
        <w:rFonts w:ascii="Cambria Math" w:hAnsi="Cambria Math"/>
        <w:b/>
        <w:color w:val="C9A24B"/>
        <w:sz w:val="20"/>
      </w:rPr>
      <w:t>⟡</w:t>
    </w:r>
    <w:r>
      <w:rPr>
        <w:rFonts w:ascii="Georgia" w:hAnsi="Georgia"/>
        <w:b/>
        <w:color w:val="0A0A0C"/>
        <w:sz w:val="20"/>
      </w:rPr>
      <w:t xml:space="preserve"> El Método</w:t>
    </w:r>
    <w:r>
      <w:rPr>
        <w:rFonts w:ascii="Georgia" w:hAnsi="Georgia"/>
        <w:i/>
        <w:color w:val="8A8578"/>
        <w:sz w:val="17"/>
      </w:rPr>
      <w:tab/>
      <w:t>Kit Propuesta a Prueba de Jurados · Matriz de coherencia</w:t>
    </w:r>
  </w:p>
  <w:p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399433" cy="1577340"/>
          <wp:effectExtent l="0" t="0" r="0" b="0"/>
          <wp:wrapNone/>
          <wp:docPr id="992" name="Marca de agua El Méto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2" name="Logo El Método"/>
                  <pic:cNvPicPr/>
                </pic:nvPicPr>
                <pic:blipFill>
                  <a:blip r:embed="rId100"/>
                  <a:stretch>
                    <a:fillRect/>
                  </a:stretch>
                </pic:blipFill>
                <pic:spPr>
                  <a:xfrm>
                    <a:off x="0" y="0"/>
                    <a:ext cx="7399433" cy="1577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0"/>
      <w:lang w:val="es-C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"1.0" encoding="UTF-8" standalone="yes"?><Relationships xmlns="http://schemas.openxmlformats.org/package/2006/relationships"><Relationship Id="rId100" Type="http://schemas.openxmlformats.org/officeDocument/2006/relationships/image" Target="media/elmetodo-marca-agua.png"/></Relationships>
</file>

<file path=word/_rels/header2.xml.rels><?xml version="1.0" encoding="UTF-8" standalone="yes"?><Relationships xmlns="http://schemas.openxmlformats.org/package/2006/relationships"><Relationship Id="rId100" Type="http://schemas.openxmlformats.org/officeDocument/2006/relationships/image" Target="media/elmetodo-marca-agua.png"/></Relationships>
</file>

<file path=word/_rels/header3.xml.rels><?xml version="1.0" encoding="UTF-8" standalone="yes"?><Relationships xmlns="http://schemas.openxmlformats.org/package/2006/relationships"><Relationship Id="rId100" Type="http://schemas.openxmlformats.org/officeDocument/2006/relationships/image" Target="media/elmetodo-marca-agu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Propuesta a Prueba de Jurados · Matriz de coherencia</dc:title>
  <dc:subject>Matriz de coherencia y lista de verificación para propuestas de posgrado</dc:subject>
  <dc:creator>El Método</dc:creator>
  <cp:keywords>matriz de coherencia; matriz de consistencia; propuesta de investigación; posgrado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